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C7F8" w14:textId="0044F80B" w:rsidR="00925BA4" w:rsidRPr="00F0065B" w:rsidRDefault="00F0065B" w:rsidP="00F0065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Cs w:val="22"/>
          <w:lang w:eastAsia="pl-PL"/>
        </w:rPr>
      </w:pPr>
      <w:r w:rsidRPr="00F0065B">
        <w:rPr>
          <w:rFonts w:ascii="Times New Roman" w:hAnsi="Times New Roman"/>
          <w:bCs/>
          <w:szCs w:val="22"/>
          <w:lang w:eastAsia="pl-PL"/>
        </w:rPr>
        <w:t>enfortumab</w:t>
      </w:r>
      <w:r w:rsidR="003765DC">
        <w:rPr>
          <w:rFonts w:ascii="Times New Roman" w:hAnsi="Times New Roman"/>
          <w:bCs/>
          <w:szCs w:val="22"/>
          <w:lang w:eastAsia="pl-PL"/>
        </w:rPr>
        <w:t xml:space="preserve"> </w:t>
      </w:r>
      <w:r w:rsidRPr="00F0065B">
        <w:rPr>
          <w:rFonts w:ascii="Times New Roman" w:hAnsi="Times New Roman"/>
          <w:bCs/>
          <w:szCs w:val="22"/>
          <w:lang w:eastAsia="pl-PL"/>
        </w:rPr>
        <w:t>vedotin</w:t>
      </w:r>
    </w:p>
    <w:p w14:paraId="28836470" w14:textId="77777777" w:rsidR="00925BA4" w:rsidRPr="00F0065B" w:rsidRDefault="00925BA4" w:rsidP="00F0065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Cs w:val="22"/>
          <w:lang w:eastAsia="pl-PL"/>
        </w:rPr>
      </w:pPr>
    </w:p>
    <w:p w14:paraId="53B0F361" w14:textId="28BD6626" w:rsidR="00287AA4" w:rsidRPr="00F0065B" w:rsidRDefault="00287AA4" w:rsidP="00F0065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F0065B">
        <w:rPr>
          <w:rFonts w:ascii="Times New Roman" w:hAnsi="Times New Roman"/>
          <w:b/>
          <w:sz w:val="28"/>
          <w:szCs w:val="28"/>
          <w:lang w:eastAsia="pl-PL"/>
        </w:rPr>
        <w:t>LECZENIE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="000D08C1" w:rsidRPr="00F0065B">
        <w:rPr>
          <w:rFonts w:ascii="Times New Roman" w:hAnsi="Times New Roman"/>
          <w:b/>
          <w:sz w:val="28"/>
          <w:szCs w:val="28"/>
          <w:lang w:eastAsia="pl-PL"/>
        </w:rPr>
        <w:t>PACJENTÓW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="000D08C1" w:rsidRPr="00F0065B">
        <w:rPr>
          <w:rFonts w:ascii="Times New Roman" w:hAnsi="Times New Roman"/>
          <w:b/>
          <w:sz w:val="28"/>
          <w:szCs w:val="28"/>
          <w:lang w:eastAsia="pl-PL"/>
        </w:rPr>
        <w:t>Z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Pr="00F0065B">
        <w:rPr>
          <w:rFonts w:ascii="Times New Roman" w:hAnsi="Times New Roman"/>
          <w:b/>
          <w:sz w:val="28"/>
          <w:szCs w:val="28"/>
          <w:lang w:eastAsia="pl-PL"/>
        </w:rPr>
        <w:t>RA</w:t>
      </w:r>
      <w:r w:rsidR="00390D06" w:rsidRPr="00F0065B">
        <w:rPr>
          <w:rFonts w:ascii="Times New Roman" w:hAnsi="Times New Roman"/>
          <w:b/>
          <w:sz w:val="28"/>
          <w:szCs w:val="28"/>
          <w:lang w:eastAsia="pl-PL"/>
        </w:rPr>
        <w:t>K</w:t>
      </w:r>
      <w:r w:rsidR="000D08C1" w:rsidRPr="00F0065B">
        <w:rPr>
          <w:rFonts w:ascii="Times New Roman" w:hAnsi="Times New Roman"/>
          <w:b/>
          <w:sz w:val="28"/>
          <w:szCs w:val="28"/>
          <w:lang w:eastAsia="pl-PL"/>
        </w:rPr>
        <w:t>IEM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Pr="00F0065B">
        <w:rPr>
          <w:rFonts w:ascii="Times New Roman" w:hAnsi="Times New Roman"/>
          <w:b/>
          <w:sz w:val="28"/>
          <w:szCs w:val="28"/>
          <w:lang w:eastAsia="pl-PL"/>
        </w:rPr>
        <w:t>UROTELIALN</w:t>
      </w:r>
      <w:r w:rsidR="000D08C1" w:rsidRPr="00F0065B">
        <w:rPr>
          <w:rFonts w:ascii="Times New Roman" w:hAnsi="Times New Roman"/>
          <w:b/>
          <w:sz w:val="28"/>
          <w:szCs w:val="28"/>
          <w:lang w:eastAsia="pl-PL"/>
        </w:rPr>
        <w:t>YM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Pr="00F0065B">
        <w:rPr>
          <w:rFonts w:ascii="Times New Roman" w:hAnsi="Times New Roman"/>
          <w:b/>
          <w:sz w:val="28"/>
          <w:szCs w:val="28"/>
          <w:lang w:eastAsia="pl-PL"/>
        </w:rPr>
        <w:t>(ICD-10</w:t>
      </w:r>
      <w:r w:rsidR="00925BA4" w:rsidRPr="00F0065B">
        <w:rPr>
          <w:rFonts w:ascii="Times New Roman" w:hAnsi="Times New Roman"/>
          <w:b/>
          <w:sz w:val="28"/>
          <w:szCs w:val="28"/>
          <w:lang w:eastAsia="pl-PL"/>
        </w:rPr>
        <w:t>: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Pr="00F0065B">
        <w:rPr>
          <w:rFonts w:ascii="Times New Roman" w:hAnsi="Times New Roman"/>
          <w:b/>
          <w:sz w:val="28"/>
          <w:szCs w:val="28"/>
          <w:lang w:eastAsia="pl-PL"/>
        </w:rPr>
        <w:t>C61,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Pr="00F0065B">
        <w:rPr>
          <w:rFonts w:ascii="Times New Roman" w:hAnsi="Times New Roman"/>
          <w:b/>
          <w:sz w:val="28"/>
          <w:szCs w:val="28"/>
          <w:lang w:eastAsia="pl-PL"/>
        </w:rPr>
        <w:t>C65,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Pr="00F0065B">
        <w:rPr>
          <w:rFonts w:ascii="Times New Roman" w:hAnsi="Times New Roman"/>
          <w:b/>
          <w:sz w:val="28"/>
          <w:szCs w:val="28"/>
          <w:lang w:eastAsia="pl-PL"/>
        </w:rPr>
        <w:t>C66,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Pr="00F0065B">
        <w:rPr>
          <w:rFonts w:ascii="Times New Roman" w:hAnsi="Times New Roman"/>
          <w:b/>
          <w:sz w:val="28"/>
          <w:szCs w:val="28"/>
          <w:lang w:eastAsia="pl-PL"/>
        </w:rPr>
        <w:t>C67,</w:t>
      </w:r>
      <w:r w:rsidR="003765DC">
        <w:rPr>
          <w:rFonts w:ascii="Times New Roman" w:hAnsi="Times New Roman"/>
          <w:b/>
          <w:sz w:val="28"/>
          <w:szCs w:val="28"/>
          <w:lang w:eastAsia="pl-PL"/>
        </w:rPr>
        <w:t xml:space="preserve"> </w:t>
      </w:r>
      <w:r w:rsidRPr="00F0065B">
        <w:rPr>
          <w:rFonts w:ascii="Times New Roman" w:hAnsi="Times New Roman"/>
          <w:b/>
          <w:sz w:val="28"/>
          <w:szCs w:val="28"/>
          <w:lang w:eastAsia="pl-PL"/>
        </w:rPr>
        <w:t>C68)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65"/>
        <w:gridCol w:w="4111"/>
        <w:gridCol w:w="5612"/>
      </w:tblGrid>
      <w:tr w:rsidR="00287AA4" w:rsidRPr="00925BA4" w14:paraId="2BF36877" w14:textId="77777777" w:rsidTr="00790072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4675B025" w14:textId="2A4E4844" w:rsidR="00287AA4" w:rsidRPr="00925BA4" w:rsidRDefault="00287AA4" w:rsidP="00925BA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ZAKRES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ŚWIADCZENIA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GWARANTOWANEGO</w:t>
            </w:r>
          </w:p>
        </w:tc>
      </w:tr>
      <w:tr w:rsidR="00287AA4" w:rsidRPr="00925BA4" w14:paraId="172444F2" w14:textId="77777777" w:rsidTr="00790072">
        <w:trPr>
          <w:trHeight w:val="567"/>
        </w:trPr>
        <w:tc>
          <w:tcPr>
            <w:tcW w:w="5665" w:type="dxa"/>
            <w:vAlign w:val="center"/>
            <w:hideMark/>
          </w:tcPr>
          <w:p w14:paraId="33FB5BB9" w14:textId="77777777" w:rsidR="00287AA4" w:rsidRPr="00925BA4" w:rsidRDefault="00287AA4" w:rsidP="00925B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ŚWIADCZENIOBIORCY</w:t>
            </w:r>
          </w:p>
        </w:tc>
        <w:tc>
          <w:tcPr>
            <w:tcW w:w="4111" w:type="dxa"/>
            <w:vAlign w:val="center"/>
            <w:hideMark/>
          </w:tcPr>
          <w:p w14:paraId="4CFA8E6A" w14:textId="61A1DF99" w:rsidR="00287AA4" w:rsidRPr="00925BA4" w:rsidRDefault="00287AA4" w:rsidP="00790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SCHEMAT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DAWKOWANIA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LEK</w:t>
            </w:r>
            <w:r w:rsidR="00726482" w:rsidRPr="00925BA4">
              <w:rPr>
                <w:rFonts w:ascii="Times New Roman" w:hAnsi="Times New Roman"/>
                <w:b/>
                <w:sz w:val="20"/>
                <w:lang w:eastAsia="en-US"/>
              </w:rPr>
              <w:t>ÓW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br/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W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PROGRAMIE</w:t>
            </w:r>
          </w:p>
        </w:tc>
        <w:tc>
          <w:tcPr>
            <w:tcW w:w="5612" w:type="dxa"/>
            <w:vAlign w:val="center"/>
            <w:hideMark/>
          </w:tcPr>
          <w:p w14:paraId="433659EA" w14:textId="1A0BD55D" w:rsidR="00287AA4" w:rsidRPr="00925BA4" w:rsidRDefault="00287AA4" w:rsidP="00925B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BADANIA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DIAGNOSTYCZNE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WYKONYWANE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br/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W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RAMACH</w:t>
            </w:r>
            <w:r w:rsidR="003765DC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eastAsia="en-US"/>
              </w:rPr>
              <w:t>PROGRAMU</w:t>
            </w:r>
          </w:p>
        </w:tc>
      </w:tr>
      <w:tr w:rsidR="00287AA4" w:rsidRPr="00120F2F" w14:paraId="0802F73E" w14:textId="77777777" w:rsidTr="00790072">
        <w:trPr>
          <w:trHeight w:val="20"/>
        </w:trPr>
        <w:tc>
          <w:tcPr>
            <w:tcW w:w="5665" w:type="dxa"/>
            <w:hideMark/>
          </w:tcPr>
          <w:p w14:paraId="6575B0B5" w14:textId="4641D5E0" w:rsidR="00833C62" w:rsidRPr="003765DC" w:rsidRDefault="00833C62" w:rsidP="003765DC">
            <w:pPr>
              <w:widowControl w:val="0"/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programie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lekowym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finansuje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się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leczenie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pacjentów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z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rakiem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197A51"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urotelialnym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B54ACD"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substancją:</w:t>
            </w:r>
          </w:p>
          <w:p w14:paraId="266115BB" w14:textId="0EBC6089" w:rsidR="00197A51" w:rsidRPr="003765DC" w:rsidRDefault="00197A51" w:rsidP="003765DC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Enfortumab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wedotyny</w:t>
            </w:r>
            <w:r w:rsidR="003765DC"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.</w:t>
            </w:r>
          </w:p>
          <w:p w14:paraId="38767F0D" w14:textId="1FC8C64D" w:rsidR="00197A51" w:rsidRPr="003765DC" w:rsidRDefault="00197A51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3765DC">
              <w:rPr>
                <w:rFonts w:ascii="Times New Roman" w:hAnsi="Times New Roman"/>
                <w:bCs/>
                <w:sz w:val="20"/>
              </w:rPr>
              <w:t>Enfortumab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522350" w:rsidRPr="003765DC">
              <w:rPr>
                <w:rFonts w:ascii="Times New Roman" w:hAnsi="Times New Roman"/>
                <w:bCs/>
                <w:sz w:val="20"/>
              </w:rPr>
              <w:t>wedotyny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stosowany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jest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w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drugiej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linii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leczenia,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w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monoterapii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raka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urotelialnego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miejscowo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zaawansowanego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lub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z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przerzutami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u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dorosłych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pacjentów,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którzy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otrzymali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wcześniej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chemioterapię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opartą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na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pochodnych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platyny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inhibitor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receptora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programowanej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śmierci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komórki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1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(PD-1)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lub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inhibitor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ligandu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programowanej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śmierci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komórki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1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Cs/>
                <w:sz w:val="20"/>
              </w:rPr>
              <w:t>(PD-</w:t>
            </w:r>
            <w:r w:rsidR="00967599" w:rsidRPr="003765DC">
              <w:rPr>
                <w:rFonts w:ascii="Times New Roman" w:hAnsi="Times New Roman"/>
                <w:bCs/>
                <w:sz w:val="20"/>
              </w:rPr>
              <w:t>L</w:t>
            </w:r>
            <w:r w:rsidRPr="003765DC">
              <w:rPr>
                <w:rFonts w:ascii="Times New Roman" w:hAnsi="Times New Roman"/>
                <w:bCs/>
                <w:sz w:val="20"/>
              </w:rPr>
              <w:t>1)</w:t>
            </w:r>
            <w:r w:rsidR="003765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hAnsi="Times New Roman"/>
                <w:bCs/>
                <w:sz w:val="20"/>
              </w:rPr>
              <w:t>(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nawrót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choroby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w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okresie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nie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wcześniej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niż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6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miesięcy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od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zakończenia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leczenia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pierwszej</w:t>
            </w:r>
            <w:r w:rsidR="003765DC">
              <w:rPr>
                <w:rFonts w:ascii="Times New Roman" w:eastAsia="Calibri" w:hAnsi="Times New Roman"/>
                <w:bCs/>
                <w:sz w:val="20"/>
              </w:rPr>
              <w:t xml:space="preserve"> </w:t>
            </w:r>
            <w:r w:rsidR="00C3006B" w:rsidRPr="003765DC">
              <w:rPr>
                <w:rFonts w:ascii="Times New Roman" w:eastAsia="Calibri" w:hAnsi="Times New Roman"/>
                <w:bCs/>
                <w:sz w:val="20"/>
              </w:rPr>
              <w:t>linii).</w:t>
            </w:r>
          </w:p>
          <w:p w14:paraId="2B7D9EF1" w14:textId="77777777" w:rsidR="00833C62" w:rsidRPr="003765DC" w:rsidRDefault="00833C62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0D474FFB" w14:textId="3B78C7E3" w:rsidR="00287AA4" w:rsidRPr="003765DC" w:rsidRDefault="00287AA4" w:rsidP="003765DC">
            <w:pPr>
              <w:pStyle w:val="Akapitzlist"/>
              <w:widowControl w:val="0"/>
              <w:numPr>
                <w:ilvl w:val="0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Kryteria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kwalifikacji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E1721"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do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3624D6"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leczenia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pacjentów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z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rakiem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urotelialnym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</w:p>
          <w:p w14:paraId="40F3047A" w14:textId="6190D0CD" w:rsidR="00B90E92" w:rsidRPr="003765DC" w:rsidRDefault="008725F5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  <w:lang w:eastAsia="en-US" w:bidi="pl-PL"/>
              </w:rPr>
            </w:pPr>
            <w:r w:rsidRPr="003765DC">
              <w:rPr>
                <w:rFonts w:ascii="Times New Roman" w:hAnsi="Times New Roman"/>
                <w:sz w:val="20"/>
              </w:rPr>
              <w:t>h</w:t>
            </w:r>
            <w:r w:rsidR="00E57242" w:rsidRPr="003765DC">
              <w:rPr>
                <w:rFonts w:ascii="Times New Roman" w:hAnsi="Times New Roman"/>
                <w:sz w:val="20"/>
              </w:rPr>
              <w:t>istologicznie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sz w:val="20"/>
              </w:rPr>
              <w:t>potwierdzone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sz w:val="20"/>
              </w:rPr>
              <w:t>rozpoznanie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sz w:val="20"/>
              </w:rPr>
              <w:t>urotelialnego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sz w:val="20"/>
              </w:rPr>
              <w:t>raka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pęcherza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moczowego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lub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miedniczki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nerkowej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lub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cewki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moczowej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lub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moczowodu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lub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gruczołu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E57242" w:rsidRPr="003765DC">
              <w:rPr>
                <w:rFonts w:ascii="Times New Roman" w:hAnsi="Times New Roman"/>
                <w:color w:val="000000" w:themeColor="text1"/>
                <w:sz w:val="20"/>
              </w:rPr>
              <w:t>krokowego;</w:t>
            </w:r>
            <w:r w:rsidR="003765DC">
              <w:rPr>
                <w:rFonts w:ascii="Times New Roman" w:eastAsia="Calibri" w:hAnsi="Times New Roman"/>
                <w:color w:val="000000" w:themeColor="text1"/>
                <w:sz w:val="20"/>
                <w:lang w:eastAsia="en-US" w:bidi="pl-PL"/>
              </w:rPr>
              <w:t xml:space="preserve"> </w:t>
            </w:r>
          </w:p>
          <w:p w14:paraId="78B0A81C" w14:textId="03369012" w:rsidR="00B54ACD" w:rsidRPr="003765DC" w:rsidRDefault="00B54ACD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rak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stadium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miejscowego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zaawansowania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przerzutami;</w:t>
            </w:r>
          </w:p>
          <w:p w14:paraId="2C2E3654" w14:textId="5F4F011E" w:rsidR="00B54ACD" w:rsidRPr="003765DC" w:rsidRDefault="00B54ACD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wcześniejsze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noeadjuwantowe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adjuwantowe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pomocą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pochodnych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platyny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inhibitora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receptora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programowanej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śmierci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komórki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(PD-1)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inhibitora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ligandu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programowanej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śmierci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komórki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(PD-L1);</w:t>
            </w:r>
          </w:p>
          <w:p w14:paraId="6F35A966" w14:textId="028EAF34" w:rsidR="00B54ACD" w:rsidRPr="003765DC" w:rsidRDefault="00B54ACD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lastRenderedPageBreak/>
              <w:t>brak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wcześniejszego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więcej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niż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jednym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schematem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chemioterapii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adjuwantowej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neoadjuwantowej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gdy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nawrót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choroby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wystąpił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ciągu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12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miesięcy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od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zakończenia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terapii.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Zastąpienie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karboplatyny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cisplatyną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stanowi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nowego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schematu,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pod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warunkiem,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że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schematu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dodano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nowych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środków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chemioterapeutycznych</w:t>
            </w:r>
            <w:r w:rsidR="003765DC" w:rsidRPr="003765DC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5DCC7194" w14:textId="4E4F76D3" w:rsidR="00B90E92" w:rsidRPr="003765DC" w:rsidRDefault="00B90E92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pl-PL"/>
              </w:rPr>
            </w:pP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możliwa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ocena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odpowiedzi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leczenie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zmian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nowotworowych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według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aktualnej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klasyfikacji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RECIST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przed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otrzymaniem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chemioterapii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paliatywnej;</w:t>
            </w:r>
          </w:p>
          <w:p w14:paraId="07647542" w14:textId="30DC2A96" w:rsidR="00287AA4" w:rsidRPr="003765DC" w:rsidRDefault="00287AA4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stan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sprawności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0-1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według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B90E92"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skali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ECOG;</w:t>
            </w:r>
          </w:p>
          <w:p w14:paraId="33F31994" w14:textId="4F4134E9" w:rsidR="00287AA4" w:rsidRPr="003765DC" w:rsidRDefault="00287AA4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wiek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18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lat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i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powyżej;</w:t>
            </w:r>
          </w:p>
          <w:p w14:paraId="1BEEFF79" w14:textId="1D0D7FA6" w:rsidR="003D58E3" w:rsidRPr="003765DC" w:rsidRDefault="003D58E3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aktywnych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przerzutów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ośrodkowym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układzie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nerwowym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(dopuszczalne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wcześniejsze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wycięcie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przerzutów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stereotaktyczna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radioterapia,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ile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leczeniu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utrzymuje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się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stan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bezobjawowy);</w:t>
            </w:r>
          </w:p>
          <w:p w14:paraId="053EB104" w14:textId="638E1E5D" w:rsidR="003D58E3" w:rsidRPr="003765DC" w:rsidRDefault="003D58E3" w:rsidP="003765DC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innych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nowotworów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niekontrolowanych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leczeniem;</w:t>
            </w:r>
          </w:p>
          <w:p w14:paraId="116C9851" w14:textId="3E3989CB" w:rsidR="00A6006A" w:rsidRPr="003765DC" w:rsidRDefault="00A6006A" w:rsidP="003765DC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niestosowanie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systemowych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leków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kortykosteroidowych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(w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dawce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przekraczającej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10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mg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prednizonu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dobę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równoważnej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innego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leku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kortykosteroidowego)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leków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immunosupresyjnych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ciągu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14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dni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przed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rozpoczęciem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(kortykosteroidy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wziewne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dozwolone);</w:t>
            </w:r>
          </w:p>
          <w:p w14:paraId="0E1C08E9" w14:textId="3B21C34C" w:rsidR="00287AA4" w:rsidRPr="003765DC" w:rsidRDefault="00287AA4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aktywnych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chorób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autoimmunologicznych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z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wyłączeniem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cukrzycy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typu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1,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niedoczynności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tarczycy,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łuszczycy,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bielactwa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i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zespołu</w:t>
            </w:r>
            <w:r w:rsidR="003765DC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1340A6" w:rsidRPr="003765DC">
              <w:rPr>
                <w:rFonts w:ascii="Times New Roman" w:eastAsiaTheme="minorHAnsi" w:hAnsi="Times New Roman"/>
                <w:sz w:val="20"/>
                <w:lang w:eastAsia="en-US"/>
              </w:rPr>
              <w:t>Sjögrena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</w:p>
          <w:p w14:paraId="3959881D" w14:textId="44E320AB" w:rsidR="007F1F8A" w:rsidRPr="003765DC" w:rsidRDefault="00287AA4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negatywny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wywiad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kierunku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HIV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AIDS;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</w:p>
          <w:p w14:paraId="1CE9EDE5" w14:textId="69E31437" w:rsidR="00287AA4" w:rsidRPr="003765DC" w:rsidRDefault="00287AA4" w:rsidP="003765DC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3765DC">
              <w:rPr>
                <w:rFonts w:ascii="Times New Roman" w:hAnsi="Times New Roman"/>
                <w:sz w:val="20"/>
                <w:lang w:eastAsia="pl-PL"/>
              </w:rPr>
              <w:t>nieobecność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ostrych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stanów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zapalnych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wątroby;</w:t>
            </w:r>
          </w:p>
          <w:p w14:paraId="30547C59" w14:textId="4D6C20F6" w:rsidR="008250ED" w:rsidRPr="003765DC" w:rsidRDefault="003D58E3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hAnsi="Times New Roman"/>
                <w:sz w:val="20"/>
                <w:lang w:eastAsia="pl-PL"/>
              </w:rPr>
              <w:t>nieobecność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istotnych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schorzeń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współistniejących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stanowiących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przeciwskazanie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do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terapii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stwierdzonych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przez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lekarza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prowadzącego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w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oparciu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o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aktualne</w:t>
            </w:r>
            <w:r w:rsidR="003765DC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  <w:lang w:eastAsia="pl-PL"/>
              </w:rPr>
              <w:t>ChPL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oraz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wytyczne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Polskiego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Towarzystwa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Onkologii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Klinicznej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lastRenderedPageBreak/>
              <w:t>leczeniu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raka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8250ED" w:rsidRPr="003765DC">
              <w:rPr>
                <w:rFonts w:ascii="Times New Roman" w:eastAsia="Calibri" w:hAnsi="Times New Roman"/>
                <w:sz w:val="20"/>
                <w:lang w:eastAsia="en-US"/>
              </w:rPr>
              <w:t>urotelialnego;</w:t>
            </w:r>
          </w:p>
          <w:p w14:paraId="3882B05C" w14:textId="246593D7" w:rsidR="00B90E92" w:rsidRPr="003765DC" w:rsidRDefault="00B90E92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adekwatna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wydolność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narządowa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określona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podstawie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wyników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badań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laboratoryjnych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umożliwiająca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opinii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lekarza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prowadzącego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bezpieczne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rozpoczęcie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terapii</w:t>
            </w:r>
            <w:r w:rsidR="003D58E3" w:rsidRPr="003765DC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2870A582" w14:textId="12F2DF35" w:rsidR="00287AA4" w:rsidRPr="003765DC" w:rsidRDefault="00D2615F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okres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ciąży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karmienia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piersią;</w:t>
            </w:r>
          </w:p>
          <w:p w14:paraId="01ECDBA1" w14:textId="27F8D4E3" w:rsidR="00B90E92" w:rsidRPr="003765DC" w:rsidRDefault="00B90E92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brak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przeciwskazań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stosowania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każdego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leków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zgodnie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aktualną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Charakterystyką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Produktu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Leczniczego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(ChPL)</w:t>
            </w:r>
            <w:r w:rsidR="003765DC" w:rsidRPr="003765DC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4627DD70" w14:textId="016DDF27" w:rsidR="00643446" w:rsidRPr="003765DC" w:rsidRDefault="00643446" w:rsidP="003765DC">
            <w:pPr>
              <w:widowControl w:val="0"/>
              <w:numPr>
                <w:ilvl w:val="3"/>
                <w:numId w:val="43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brak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nadwrażliwości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przeciwciała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monoklonalne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wywiadzie.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</w:p>
          <w:p w14:paraId="3F16465B" w14:textId="24653909" w:rsidR="00E617B5" w:rsidRPr="003765DC" w:rsidRDefault="003624D6" w:rsidP="003765DC">
            <w:pPr>
              <w:pStyle w:val="Default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badaniami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klinicznymi,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objęcia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refundacją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uwzględnione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uwzględnionych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65D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376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9D1CC2" w14:textId="77777777" w:rsidR="00287AA4" w:rsidRPr="003765DC" w:rsidRDefault="00287AA4" w:rsidP="003765DC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</w:p>
          <w:p w14:paraId="4B6525BA" w14:textId="1D353742" w:rsidR="00E617B5" w:rsidRPr="003765DC" w:rsidRDefault="00CF4DC0" w:rsidP="003765DC">
            <w:pPr>
              <w:pStyle w:val="Akapitzlist"/>
              <w:widowControl w:val="0"/>
              <w:numPr>
                <w:ilvl w:val="0"/>
                <w:numId w:val="43"/>
              </w:numPr>
              <w:tabs>
                <w:tab w:val="left" w:pos="80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</w:pP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Określenie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czasu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leczenia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w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programie</w:t>
            </w:r>
          </w:p>
          <w:p w14:paraId="0F9F6EB5" w14:textId="1DD70F0C" w:rsidR="003D58E3" w:rsidRPr="003765DC" w:rsidRDefault="003D58E3" w:rsidP="003765DC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Leczenie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trwa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czasu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podjęcia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przez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lekarza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prowadzącego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decyzji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wyłączeniu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świadczeniobiorcy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programu,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zgodnie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kryteriami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wyłączenia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programu.</w:t>
            </w:r>
          </w:p>
          <w:p w14:paraId="47BC6DE1" w14:textId="77777777" w:rsidR="00E617B5" w:rsidRPr="003765DC" w:rsidRDefault="00E617B5" w:rsidP="003765DC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</w:p>
          <w:p w14:paraId="22D0349F" w14:textId="683E155C" w:rsidR="00E617B5" w:rsidRPr="003765DC" w:rsidRDefault="00CF4DC0" w:rsidP="003765DC">
            <w:pPr>
              <w:pStyle w:val="Akapitzlist"/>
              <w:widowControl w:val="0"/>
              <w:numPr>
                <w:ilvl w:val="0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Kryteria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wyłączenia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z</w:t>
            </w:r>
            <w:r w:rsid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3765DC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programu</w:t>
            </w:r>
          </w:p>
          <w:p w14:paraId="287F701C" w14:textId="16BA5E38" w:rsidR="008250ED" w:rsidRPr="003765DC" w:rsidRDefault="008250ED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progresja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choroby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nowotworowej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oceniona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zgodnie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3D58E3" w:rsidRPr="003765DC">
              <w:rPr>
                <w:rFonts w:ascii="Times New Roman" w:eastAsia="Calibri" w:hAnsi="Times New Roman"/>
                <w:sz w:val="20"/>
                <w:lang w:eastAsia="en-US"/>
              </w:rPr>
              <w:t>aktualnie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3D58E3" w:rsidRPr="003765DC">
              <w:rPr>
                <w:rFonts w:ascii="Times New Roman" w:eastAsia="Calibri" w:hAnsi="Times New Roman"/>
                <w:sz w:val="20"/>
                <w:lang w:eastAsia="en-US"/>
              </w:rPr>
              <w:t>obowiązującymi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kryteriami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RECIST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1.1.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(z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możliwością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potwierdzenia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progresji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w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kolejnym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badaniu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po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upływie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przynajmniej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4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227528" w:rsidRPr="003765DC">
              <w:rPr>
                <w:rFonts w:ascii="Times New Roman" w:hAnsi="Times New Roman"/>
                <w:sz w:val="20"/>
              </w:rPr>
              <w:t>tygodni);</w:t>
            </w:r>
          </w:p>
          <w:p w14:paraId="5CA9CEE3" w14:textId="3A727AAE" w:rsidR="007C4C06" w:rsidRPr="003765DC" w:rsidRDefault="007C4C06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wystąpienie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nieakceptowalnej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zagrażającej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życiu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toksyczności,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pomimo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zastosowania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adekwatnego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9B248C" w:rsidRPr="003765DC">
              <w:rPr>
                <w:rFonts w:ascii="Times New Roman" w:eastAsia="Calibri" w:hAnsi="Times New Roman"/>
                <w:sz w:val="20"/>
                <w:lang w:eastAsia="en-US"/>
              </w:rPr>
              <w:t>postepowania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6177157B" w14:textId="58E87A49" w:rsidR="008250ED" w:rsidRPr="003765DC" w:rsidRDefault="008250ED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długotrwałe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pogorszenie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sprawności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ogólnej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stopnia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2-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4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lastRenderedPageBreak/>
              <w:t>według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kryteriów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ECOG</w:t>
            </w:r>
            <w:r w:rsidR="00D76E60" w:rsidRPr="003765DC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636C0CCD" w14:textId="13F95C31" w:rsidR="007C4C06" w:rsidRPr="003765DC" w:rsidRDefault="007C4C06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wystąpienie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objawów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nadwrażliwości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którąkolwiek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substancję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czynną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substancję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pomocniczą;</w:t>
            </w:r>
          </w:p>
          <w:p w14:paraId="5DDD0C12" w14:textId="5E2D36FC" w:rsidR="007F545E" w:rsidRPr="003765DC" w:rsidRDefault="008250ED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pogorszenie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jakości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życia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istotnym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znaczeniu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według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oceny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lekarza;</w:t>
            </w:r>
          </w:p>
          <w:p w14:paraId="54641B06" w14:textId="1D6BB0EB" w:rsidR="007F545E" w:rsidRPr="003765DC" w:rsidRDefault="007F545E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okres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ciąży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karmienia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piersią;</w:t>
            </w:r>
          </w:p>
          <w:p w14:paraId="440E543A" w14:textId="7A22E65F" w:rsidR="007F545E" w:rsidRPr="003765DC" w:rsidRDefault="007F545E" w:rsidP="003765DC">
            <w:pPr>
              <w:widowControl w:val="0"/>
              <w:numPr>
                <w:ilvl w:val="3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brak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współpracy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nieprzestrzeganie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zaleceń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lekarskich,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tym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zwłaszcza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dotyczących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okresowych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badań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kontrolnych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oceniających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skuteczność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bezpieczeństwo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ze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strony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świadczeniobiorcy.</w:t>
            </w:r>
          </w:p>
          <w:p w14:paraId="437406A6" w14:textId="77777777" w:rsidR="00287AA4" w:rsidRPr="003765DC" w:rsidRDefault="00287AA4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552FD45D" w14:textId="77777777" w:rsidR="00287AA4" w:rsidRPr="003765DC" w:rsidRDefault="00287AA4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  <w:tc>
          <w:tcPr>
            <w:tcW w:w="4111" w:type="dxa"/>
            <w:hideMark/>
          </w:tcPr>
          <w:p w14:paraId="26F2C742" w14:textId="77777777" w:rsidR="008725F5" w:rsidRPr="003765DC" w:rsidRDefault="008725F5" w:rsidP="003765DC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3765DC">
              <w:rPr>
                <w:rFonts w:ascii="Times New Roman" w:hAnsi="Times New Roman"/>
                <w:b/>
                <w:bCs/>
                <w:sz w:val="20"/>
                <w:lang w:eastAsia="pl-PL"/>
              </w:rPr>
              <w:lastRenderedPageBreak/>
              <w:t>Dawkowanie</w:t>
            </w:r>
          </w:p>
          <w:p w14:paraId="7765C2EB" w14:textId="373105DE" w:rsidR="00522350" w:rsidRPr="00F738AE" w:rsidRDefault="00522350" w:rsidP="003765D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F738AE">
              <w:rPr>
                <w:rFonts w:ascii="Times New Roman" w:hAnsi="Times New Roman"/>
                <w:sz w:val="20"/>
              </w:rPr>
              <w:t>Dawka</w:t>
            </w:r>
            <w:r w:rsidR="003765DC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/>
                <w:bCs/>
                <w:sz w:val="20"/>
              </w:rPr>
              <w:t>enfortumabu</w:t>
            </w:r>
            <w:r w:rsidR="003765DC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b/>
                <w:bCs/>
                <w:sz w:val="20"/>
              </w:rPr>
              <w:t>wedotyny:</w:t>
            </w:r>
            <w:r w:rsidR="003765DC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1,25mg/kg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mc.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(maksymalnie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do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125mg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u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pacjentów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o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masie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ciała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≥100kg).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Lek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należy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podawać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we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wlewie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dożylnym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w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1.,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8.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i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15.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dniu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28-dniowego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cyklu.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</w:p>
          <w:p w14:paraId="15F3A1FE" w14:textId="31512887" w:rsidR="00522350" w:rsidRPr="003765DC" w:rsidRDefault="00522350" w:rsidP="003765D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F738AE">
              <w:rPr>
                <w:rFonts w:ascii="Times New Roman" w:hAnsi="Times New Roman"/>
                <w:sz w:val="20"/>
              </w:rPr>
              <w:t>Sposób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podawania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oraz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ewentualne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czasowe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wstrzymania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leczenia,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prowadzone</w:t>
            </w:r>
            <w:r w:rsidR="003765DC" w:rsidRPr="00F738AE">
              <w:rPr>
                <w:rFonts w:ascii="Times New Roman" w:hAnsi="Times New Roman"/>
                <w:sz w:val="20"/>
              </w:rPr>
              <w:t xml:space="preserve"> </w:t>
            </w:r>
            <w:r w:rsidRPr="00F738AE">
              <w:rPr>
                <w:rFonts w:ascii="Times New Roman" w:hAnsi="Times New Roman"/>
                <w:sz w:val="20"/>
              </w:rPr>
              <w:t>zgodnie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aktual</w:t>
            </w:r>
            <w:r w:rsidR="00453F27" w:rsidRPr="003765DC">
              <w:rPr>
                <w:rFonts w:ascii="Times New Roman" w:hAnsi="Times New Roman"/>
                <w:sz w:val="20"/>
              </w:rPr>
              <w:t>n</w:t>
            </w:r>
            <w:r w:rsidR="003A2798" w:rsidRPr="003765DC">
              <w:rPr>
                <w:rFonts w:ascii="Times New Roman" w:hAnsi="Times New Roman"/>
                <w:sz w:val="20"/>
              </w:rPr>
              <w:t>ymi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Charakterystykami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Produktu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Leczniczego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(ChPL).</w:t>
            </w:r>
          </w:p>
          <w:p w14:paraId="3E9A410D" w14:textId="57BCF90E" w:rsidR="00522350" w:rsidRPr="003765DC" w:rsidRDefault="00522350" w:rsidP="003765D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Dopuszczalne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jest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zmniejszenie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wymienionych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poniżej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dawek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zgodnie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aktual</w:t>
            </w:r>
            <w:r w:rsidR="003A2798" w:rsidRPr="003765DC">
              <w:rPr>
                <w:rFonts w:ascii="Times New Roman" w:hAnsi="Times New Roman"/>
                <w:sz w:val="20"/>
              </w:rPr>
              <w:t>nymi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ChPL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poszczególnych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leków.</w:t>
            </w:r>
          </w:p>
          <w:p w14:paraId="13F19B16" w14:textId="77777777" w:rsidR="00992DDB" w:rsidRPr="003765DC" w:rsidRDefault="00992DDB" w:rsidP="003765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bCs/>
                <w:spacing w:val="-1"/>
                <w:sz w:val="20"/>
                <w:lang w:eastAsia="zh-CN"/>
              </w:rPr>
            </w:pPr>
          </w:p>
          <w:p w14:paraId="36D74FD1" w14:textId="77777777" w:rsidR="006E4AF4" w:rsidRPr="003765DC" w:rsidRDefault="006E4AF4" w:rsidP="003765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pacing w:val="-1"/>
                <w:sz w:val="20"/>
                <w:lang w:eastAsia="zh-CN"/>
              </w:rPr>
            </w:pPr>
          </w:p>
          <w:p w14:paraId="7D1DE0EF" w14:textId="77777777" w:rsidR="00287AA4" w:rsidRPr="003765DC" w:rsidRDefault="00287AA4" w:rsidP="003765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  <w:tc>
          <w:tcPr>
            <w:tcW w:w="5612" w:type="dxa"/>
            <w:hideMark/>
          </w:tcPr>
          <w:p w14:paraId="7E4B331F" w14:textId="339CEA83" w:rsidR="00287AA4" w:rsidRPr="003765DC" w:rsidRDefault="00287AA4" w:rsidP="003765D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Badania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przy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kwalifikacji</w:t>
            </w:r>
          </w:p>
          <w:p w14:paraId="25F527AC" w14:textId="03520AAD" w:rsidR="00287AA4" w:rsidRPr="003765DC" w:rsidRDefault="00726482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badanie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histopatologiczne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celu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potwierdzenia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raka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287AA4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urotelialnego;</w:t>
            </w:r>
          </w:p>
          <w:p w14:paraId="1359B82E" w14:textId="19896622" w:rsidR="00726482" w:rsidRPr="003765DC" w:rsidRDefault="00726482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morfologia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krwi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rozmazem;</w:t>
            </w:r>
          </w:p>
          <w:p w14:paraId="73FB6ED6" w14:textId="44F7B6BB" w:rsidR="00726482" w:rsidRPr="003765DC" w:rsidRDefault="00726482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hemoglobiny;</w:t>
            </w:r>
          </w:p>
          <w:p w14:paraId="0FD7F571" w14:textId="3D48A7CE" w:rsidR="00726482" w:rsidRPr="003765DC" w:rsidRDefault="006E16D3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kreatyniny;</w:t>
            </w:r>
          </w:p>
          <w:p w14:paraId="6AEFA087" w14:textId="539323BB" w:rsidR="006E16D3" w:rsidRPr="003765DC" w:rsidRDefault="006E16D3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bilirubiny;</w:t>
            </w:r>
          </w:p>
          <w:p w14:paraId="216F1165" w14:textId="2EDFFAB6" w:rsidR="006E16D3" w:rsidRPr="003765DC" w:rsidRDefault="006E16D3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3D1255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aktywności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aminotransferazy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alaninowej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asparaginianowej;</w:t>
            </w:r>
          </w:p>
          <w:p w14:paraId="3CFB1CDE" w14:textId="790D146E" w:rsidR="006E16D3" w:rsidRPr="003765DC" w:rsidRDefault="006E16D3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aktywności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hormonu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tyreotropowego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(TSH)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fT4</w:t>
            </w:r>
          </w:p>
          <w:p w14:paraId="7CADA921" w14:textId="38098F58" w:rsidR="006E16D3" w:rsidRPr="003765DC" w:rsidRDefault="00DC5D0A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glukozy</w:t>
            </w:r>
            <w:r w:rsidR="000D532E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4BE8C171" w14:textId="3EBF70BD" w:rsidR="000D532E" w:rsidRPr="003765DC" w:rsidRDefault="000D532E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antygenu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HBs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(HbsAg);</w:t>
            </w:r>
          </w:p>
          <w:p w14:paraId="103E0921" w14:textId="23DD8B92" w:rsidR="007C4C06" w:rsidRPr="003765DC" w:rsidRDefault="007C4C06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badanie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przesiewowe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kierunku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HBV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(HBsAg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HBcAb,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razie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konieczności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HBV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DNA);</w:t>
            </w:r>
          </w:p>
          <w:p w14:paraId="58575A8F" w14:textId="446A87DE" w:rsidR="007C4C06" w:rsidRPr="003765DC" w:rsidRDefault="007C4C06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badanie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przesiewowe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kierunku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HCV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(anty-HCV,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razie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konieczności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HCV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RNA);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</w:p>
          <w:p w14:paraId="53542650" w14:textId="1CAA53A9" w:rsidR="00DC5D0A" w:rsidRPr="003765DC" w:rsidRDefault="00DC5D0A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inne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badania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laboratoryjne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razie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wskazań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klinicznych;</w:t>
            </w:r>
          </w:p>
          <w:p w14:paraId="5E4EB5C2" w14:textId="5EC82A80" w:rsidR="00DC5D0A" w:rsidRPr="003765DC" w:rsidRDefault="00DC5D0A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test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ciążowy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C4C06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(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kobiet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wieku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rozrodczym</w:t>
            </w:r>
            <w:r w:rsidR="007C4C06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)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688EA2A4" w14:textId="78E746A9" w:rsidR="00727FD7" w:rsidRPr="003765DC" w:rsidRDefault="00DC5D0A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TK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klatki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piersiowej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jamy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brzusznej;</w:t>
            </w:r>
          </w:p>
          <w:p w14:paraId="430269BC" w14:textId="4FCB4373" w:rsidR="000D532E" w:rsidRPr="003765DC" w:rsidRDefault="000D532E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RTG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klatki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piersiowej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wyłącznie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przypadkach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możliwości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przeprowadzenia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pomiaru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zmian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chorobowych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lastRenderedPageBreak/>
              <w:t>oraz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oceny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odpowiedzi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na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leczenie;</w:t>
            </w:r>
          </w:p>
          <w:p w14:paraId="4E9F2A50" w14:textId="6F32A816" w:rsidR="00287AA4" w:rsidRPr="003765DC" w:rsidRDefault="00287AA4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TK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MR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mózgu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osób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podejrzeniem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przerzutów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do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ośrodkowego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układu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nerwowego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(tj.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objawów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ze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strony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ośrodkowego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układu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nerwowego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oraz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osób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po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wcześniejszej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resekcji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napromienianiu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przerzutów);</w:t>
            </w:r>
          </w:p>
          <w:p w14:paraId="4B2710CF" w14:textId="661ECA77" w:rsidR="00DC5D0A" w:rsidRPr="003765DC" w:rsidRDefault="00DC5D0A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elektrokardiogram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(EKG);</w:t>
            </w:r>
          </w:p>
          <w:p w14:paraId="34BCB58F" w14:textId="2DEDE2AB" w:rsidR="00DC5D0A" w:rsidRPr="003765DC" w:rsidRDefault="00DC5D0A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pomiar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ciśnienia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tętniczego;</w:t>
            </w:r>
          </w:p>
          <w:p w14:paraId="468DF90E" w14:textId="676DF414" w:rsidR="00287AA4" w:rsidRPr="003765DC" w:rsidRDefault="00287AA4" w:rsidP="003765DC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inne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badania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obrazowe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razie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wskazań</w:t>
            </w:r>
            <w:r w:rsid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klinicznych</w:t>
            </w:r>
            <w:r w:rsidR="003765DC" w:rsidRPr="003765DC">
              <w:rPr>
                <w:rFonts w:ascii="Times New Roman" w:eastAsia="SimSun" w:hAnsi="Times New Roman"/>
                <w:bCs/>
                <w:sz w:val="20"/>
                <w:lang w:eastAsia="zh-CN"/>
              </w:rPr>
              <w:t>.</w:t>
            </w:r>
          </w:p>
          <w:p w14:paraId="4F985A36" w14:textId="4766031A" w:rsidR="006E16D3" w:rsidRPr="003765DC" w:rsidRDefault="006E16D3" w:rsidP="003765DC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en-US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Wstępne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badania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obrazowe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muszą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umożliwić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późniejszą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obiektywną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ocenę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odpowiedzi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na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leczenie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wg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aktualnych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kryteriów</w:t>
            </w:r>
            <w:r w:rsidR="003765DC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en-US"/>
              </w:rPr>
              <w:t>RECIST</w:t>
            </w:r>
            <w:r w:rsidR="00B1500D" w:rsidRPr="003765DC">
              <w:rPr>
                <w:rFonts w:ascii="Times New Roman" w:eastAsia="SimSun" w:hAnsi="Times New Roman"/>
                <w:sz w:val="20"/>
                <w:lang w:eastAsia="en-US"/>
              </w:rPr>
              <w:t>.</w:t>
            </w:r>
          </w:p>
          <w:p w14:paraId="22C9B870" w14:textId="77777777" w:rsidR="006E4AF4" w:rsidRPr="003765DC" w:rsidRDefault="006E4AF4" w:rsidP="003765DC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en-US"/>
              </w:rPr>
            </w:pPr>
          </w:p>
          <w:p w14:paraId="2FB56CF7" w14:textId="75ABC678" w:rsidR="00287AA4" w:rsidRPr="003765DC" w:rsidRDefault="00287AA4" w:rsidP="003765D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bezpieczeństwa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</w:p>
          <w:p w14:paraId="5E22161F" w14:textId="5D11FCAD" w:rsidR="00ED2546" w:rsidRPr="003765DC" w:rsidRDefault="00ED2546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3765DC">
              <w:rPr>
                <w:rFonts w:ascii="Times New Roman" w:hAnsi="Times New Roman"/>
                <w:sz w:val="20"/>
              </w:rPr>
              <w:t>morfologia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krwi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rozmazem;</w:t>
            </w:r>
          </w:p>
          <w:p w14:paraId="5CB78DA9" w14:textId="33E7DD26" w:rsidR="00ED2546" w:rsidRPr="003765DC" w:rsidRDefault="00ED2546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oznaczenie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stężenia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hemoglobiny;</w:t>
            </w:r>
          </w:p>
          <w:p w14:paraId="08C2638A" w14:textId="3F1ADF15" w:rsidR="00ED2546" w:rsidRPr="003765DC" w:rsidRDefault="00ED2546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oznaczenia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stężenia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kreatyniny;</w:t>
            </w:r>
          </w:p>
          <w:p w14:paraId="24716220" w14:textId="4FA0B953" w:rsidR="00ED2546" w:rsidRPr="003765DC" w:rsidRDefault="00ED2546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oznaczenie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stężenia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bilirubiny;</w:t>
            </w:r>
          </w:p>
          <w:p w14:paraId="2CCE39EC" w14:textId="12E56A04" w:rsidR="00727FD7" w:rsidRPr="003765DC" w:rsidRDefault="00727FD7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oznaczenie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stężenia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glukozy;</w:t>
            </w:r>
          </w:p>
          <w:p w14:paraId="150DA067" w14:textId="4B28819F" w:rsidR="00ED2546" w:rsidRPr="003765DC" w:rsidRDefault="00ED2546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oznaczenie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aktywności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aminotransferazy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alaninowej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727FD7" w:rsidRPr="003765DC">
              <w:rPr>
                <w:rFonts w:ascii="Times New Roman" w:hAnsi="Times New Roman"/>
                <w:sz w:val="20"/>
              </w:rPr>
              <w:t>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="00CF4DC0" w:rsidRPr="003765DC">
              <w:rPr>
                <w:rFonts w:ascii="Times New Roman" w:hAnsi="Times New Roman"/>
                <w:sz w:val="20"/>
              </w:rPr>
              <w:t>asparaginianowej;</w:t>
            </w:r>
          </w:p>
          <w:p w14:paraId="46CF41FF" w14:textId="221DFE68" w:rsidR="00ED2546" w:rsidRPr="003765DC" w:rsidRDefault="002A222E" w:rsidP="003765DC">
            <w:pPr>
              <w:pStyle w:val="Akapitzlist"/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inne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wskazań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klinicznych</w:t>
            </w:r>
            <w:r w:rsidR="008725F5" w:rsidRPr="003765DC">
              <w:rPr>
                <w:rFonts w:ascii="Times New Roman" w:eastAsia="SimSun" w:hAnsi="Times New Roman"/>
                <w:sz w:val="20"/>
                <w:lang w:eastAsia="zh-CN"/>
              </w:rPr>
              <w:t>.</w:t>
            </w:r>
          </w:p>
          <w:p w14:paraId="18239E6B" w14:textId="07EA455A" w:rsidR="002A222E" w:rsidRPr="003765DC" w:rsidRDefault="002A222E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wykonuje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się:</w:t>
            </w:r>
          </w:p>
          <w:p w14:paraId="29812CFD" w14:textId="305E0A94" w:rsidR="002A222E" w:rsidRPr="003765DC" w:rsidRDefault="002A222E" w:rsidP="003765DC">
            <w:pPr>
              <w:pStyle w:val="Akapitzlist"/>
              <w:widowControl w:val="0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2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tygodnie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przypadku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morfologii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krwi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rozmazem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790072" w:rsidRPr="003765DC">
              <w:rPr>
                <w:rFonts w:ascii="Times New Roman" w:eastAsia="SimSun" w:hAnsi="Times New Roman"/>
                <w:sz w:val="20"/>
                <w:lang w:eastAsia="zh-CN"/>
              </w:rPr>
              <w:t>(po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okresie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3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790072" w:rsidRPr="003765DC">
              <w:rPr>
                <w:rFonts w:ascii="Times New Roman" w:eastAsia="SimSun" w:hAnsi="Times New Roman"/>
                <w:sz w:val="20"/>
                <w:lang w:eastAsia="zh-CN"/>
              </w:rPr>
              <w:t>miesięcy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leczenia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8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tygodni);</w:t>
            </w:r>
          </w:p>
          <w:p w14:paraId="5BA7AFA3" w14:textId="127102E8" w:rsidR="006E4AF4" w:rsidRPr="003765DC" w:rsidRDefault="002A222E" w:rsidP="003765DC">
            <w:pPr>
              <w:pStyle w:val="Akapitzlist"/>
              <w:widowControl w:val="0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8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tygodni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przypadku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pozostałych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badań</w:t>
            </w:r>
            <w:r w:rsidR="008725F5" w:rsidRPr="003765DC">
              <w:rPr>
                <w:rFonts w:ascii="Times New Roman" w:eastAsia="SimSun" w:hAnsi="Times New Roman"/>
                <w:sz w:val="20"/>
                <w:lang w:eastAsia="zh-CN"/>
              </w:rPr>
              <w:t>.</w:t>
            </w:r>
          </w:p>
          <w:p w14:paraId="4B09F63A" w14:textId="77777777" w:rsidR="00287AA4" w:rsidRPr="003765DC" w:rsidRDefault="00287AA4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</w:p>
          <w:p w14:paraId="5837EC21" w14:textId="6E4A2327" w:rsidR="00287AA4" w:rsidRPr="003765DC" w:rsidRDefault="00287AA4" w:rsidP="003765D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bookmarkStart w:id="0" w:name="_Hlk116560226"/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skuteczności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</w:p>
          <w:bookmarkEnd w:id="0"/>
          <w:p w14:paraId="746A9EC1" w14:textId="6EA10461" w:rsidR="005D2609" w:rsidRPr="003765DC" w:rsidRDefault="005D2609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3765DC">
              <w:rPr>
                <w:rFonts w:ascii="Times New Roman" w:hAnsi="Times New Roman"/>
                <w:sz w:val="20"/>
              </w:rPr>
              <w:lastRenderedPageBreak/>
              <w:t>TK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lub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MR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odpowiedniego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obszaru;</w:t>
            </w:r>
          </w:p>
          <w:p w14:paraId="39593A1D" w14:textId="739ADC55" w:rsidR="005D2609" w:rsidRPr="003765DC" w:rsidRDefault="005D2609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RTG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klatki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piersiowej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-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jeżeli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jest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wykonywane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badanie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TK;</w:t>
            </w:r>
          </w:p>
          <w:p w14:paraId="2B5360CA" w14:textId="720DB8C6" w:rsidR="005D2609" w:rsidRPr="003765DC" w:rsidRDefault="005D2609" w:rsidP="003765DC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inne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badania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obrazowe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razie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wskazań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klinicznych.</w:t>
            </w:r>
          </w:p>
          <w:p w14:paraId="38B4EDB0" w14:textId="10146C6A" w:rsidR="005D2609" w:rsidRPr="003765DC" w:rsidRDefault="005D2609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wykonuje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się:</w:t>
            </w:r>
          </w:p>
          <w:p w14:paraId="100F5DA5" w14:textId="1165126F" w:rsidR="005D2609" w:rsidRPr="003765DC" w:rsidRDefault="005D2609" w:rsidP="003765DC">
            <w:pPr>
              <w:pStyle w:val="Akapitzlist"/>
              <w:widowControl w:val="0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12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tygodni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częściej,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jeśli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wymaga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tego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stan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kliniczny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pacjenta</w:t>
            </w:r>
            <w:r w:rsidR="008725F5" w:rsidRPr="003765DC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38883B37" w14:textId="6FB34535" w:rsidR="006E4AF4" w:rsidRPr="003765DC" w:rsidRDefault="005D2609" w:rsidP="003765DC">
            <w:pPr>
              <w:pStyle w:val="Akapitzlist"/>
              <w:widowControl w:val="0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chwili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wyłączenia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programu,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ile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nie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nastąpiło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powodu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choroby.</w:t>
            </w:r>
          </w:p>
          <w:p w14:paraId="5D547044" w14:textId="1AEACED0" w:rsidR="005D2609" w:rsidRPr="003765DC" w:rsidRDefault="005D2609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Wykonane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obrazowe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muszą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umożliwić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obiektywną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ocenę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leczenie.</w:t>
            </w:r>
          </w:p>
          <w:p w14:paraId="0B63BEE4" w14:textId="72CF947D" w:rsidR="00287AA4" w:rsidRPr="003765DC" w:rsidRDefault="005D2609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Ocena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leczenie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powinna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być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przeprowadzana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zgodnie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kryteriami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sz w:val="20"/>
                <w:lang w:eastAsia="zh-CN"/>
              </w:rPr>
              <w:t>RECIST.</w:t>
            </w:r>
            <w:r w:rsidR="003765DC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</w:p>
          <w:p w14:paraId="0C9EF0AC" w14:textId="77777777" w:rsidR="00790072" w:rsidRPr="003765DC" w:rsidRDefault="00790072" w:rsidP="003765DC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4883A0AB" w14:textId="7B5C2AFC" w:rsidR="00287AA4" w:rsidRPr="003765DC" w:rsidRDefault="00287AA4" w:rsidP="003765DC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3765DC">
              <w:rPr>
                <w:rFonts w:ascii="Times New Roman" w:eastAsia="SimSun" w:hAnsi="Times New Roman"/>
                <w:b/>
                <w:sz w:val="20"/>
                <w:lang w:eastAsia="zh-CN"/>
              </w:rPr>
              <w:t>programu</w:t>
            </w:r>
          </w:p>
          <w:p w14:paraId="5CBB65B6" w14:textId="0652A477" w:rsidR="00522350" w:rsidRPr="003765DC" w:rsidRDefault="00287A01" w:rsidP="003765DC">
            <w:pPr>
              <w:widowControl w:val="0"/>
              <w:numPr>
                <w:ilvl w:val="3"/>
                <w:numId w:val="45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g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romadzenie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dokumentacji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medycznej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danych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dotyczących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monitorowania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każdorazowe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ich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przedstawianie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żądanie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kontrolerów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Narodowego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Funduszu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Zdrowia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(NFZ);</w:t>
            </w:r>
          </w:p>
          <w:p w14:paraId="1C39DF6B" w14:textId="2BADC941" w:rsidR="00522350" w:rsidRPr="003765DC" w:rsidRDefault="00287A01" w:rsidP="003765DC">
            <w:pPr>
              <w:widowControl w:val="0"/>
              <w:numPr>
                <w:ilvl w:val="3"/>
                <w:numId w:val="45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u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zupełnienie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danych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zawartych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elektronicznym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systemie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monitorowania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programów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lekowych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dostępnym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pomocą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aplikacji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internetowej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udostępnionej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przez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Oddział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Wojewódzki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NFZ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częstotliwością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zgodną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opisem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programu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oraz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zakończenie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leczenia,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tym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przekazywanie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danych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dotyczących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wskaźników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skuteczności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terapii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zawartych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punkcie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3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.</w:t>
            </w:r>
          </w:p>
          <w:p w14:paraId="733CDFB7" w14:textId="33DE5C2F" w:rsidR="00522350" w:rsidRPr="003765DC" w:rsidRDefault="00F54522" w:rsidP="003765DC">
            <w:pPr>
              <w:widowControl w:val="0"/>
              <w:numPr>
                <w:ilvl w:val="3"/>
                <w:numId w:val="45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przypadku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terapii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pomocą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enfortumabu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wedotyny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przekazywanie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za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pomocą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odpowiedniej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aplikacji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internetowej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danych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dotyczących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wskaźników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efektywności</w:t>
            </w:r>
            <w:r w:rsidR="003765DC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terapii:</w:t>
            </w:r>
          </w:p>
          <w:p w14:paraId="015F5324" w14:textId="780DE0C3" w:rsidR="00522350" w:rsidRPr="003765DC" w:rsidRDefault="00522350" w:rsidP="003765DC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śmiertelność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–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przeżycie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całkowite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(OS)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tj.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czas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daty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podania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pierwszej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dawki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leku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do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daty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zgonu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jakiejkolwiek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lastRenderedPageBreak/>
              <w:t>przyczyny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–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przeżycie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całkowite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oczekiwaną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medianą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12,9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miesiąca</w:t>
            </w:r>
            <w:r w:rsidR="003765DC" w:rsidRPr="003765DC">
              <w:rPr>
                <w:rFonts w:ascii="Times New Roman" w:hAnsi="Times New Roman"/>
                <w:sz w:val="20"/>
              </w:rPr>
              <w:t>,</w:t>
            </w:r>
          </w:p>
          <w:p w14:paraId="41052FAB" w14:textId="61B96F75" w:rsidR="00522350" w:rsidRPr="003765DC" w:rsidRDefault="00522350" w:rsidP="003765DC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przeżycie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bez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progresji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choroby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(PFS)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tj.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czas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daty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podania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pierwszej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dawki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leku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do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daty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pierwszej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udokumentowanej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progresji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choroby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lub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zgonu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jakiejkolwiek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przyczyny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–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przeżycie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wolne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progresji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oczekiwaną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medianą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5,5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miesiąca</w:t>
            </w:r>
            <w:r w:rsidR="003765DC" w:rsidRPr="003765DC">
              <w:rPr>
                <w:rFonts w:ascii="Times New Roman" w:hAnsi="Times New Roman"/>
                <w:sz w:val="20"/>
              </w:rPr>
              <w:t>.</w:t>
            </w:r>
          </w:p>
          <w:p w14:paraId="7F0297AC" w14:textId="75FDE918" w:rsidR="00522350" w:rsidRPr="003765DC" w:rsidRDefault="00522350" w:rsidP="003765DC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wskaźnik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odpowiedzi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obiektywnych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(ORR)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tj.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odsetek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pacjentów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odpowiedzią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na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leczenie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postaci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pełnej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odpowiedzi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(CR)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lub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częściowej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odpowiedzi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(PR)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–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wskaźnik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odpowiedzi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obiektywnych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na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oczekiwanym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poziomie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40,6%</w:t>
            </w:r>
            <w:r w:rsidR="003765DC" w:rsidRPr="003765DC">
              <w:rPr>
                <w:rFonts w:ascii="Times New Roman" w:hAnsi="Times New Roman"/>
                <w:sz w:val="20"/>
              </w:rPr>
              <w:t>,</w:t>
            </w:r>
          </w:p>
          <w:p w14:paraId="2181A403" w14:textId="04F74B04" w:rsidR="00522350" w:rsidRPr="003765DC" w:rsidRDefault="00522350" w:rsidP="003765DC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765DC">
              <w:rPr>
                <w:rFonts w:ascii="Times New Roman" w:hAnsi="Times New Roman"/>
                <w:sz w:val="20"/>
              </w:rPr>
              <w:t>mediana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DoR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-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czas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pierwszej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obiektywnej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odpowiedzi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(CR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lub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PR)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do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udokumentowanej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progresji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choroby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(PD)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lub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zgonu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jakiejkolwiek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przyczyny,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zależności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tego,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co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nastąpi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wcześniej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–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oczekiwany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wynik: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7,9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miesiąca</w:t>
            </w:r>
            <w:r w:rsidR="003765DC" w:rsidRPr="003765DC">
              <w:rPr>
                <w:rFonts w:ascii="Times New Roman" w:hAnsi="Times New Roman"/>
                <w:sz w:val="20"/>
              </w:rPr>
              <w:t>,</w:t>
            </w:r>
          </w:p>
          <w:p w14:paraId="057DCAC1" w14:textId="18F9A8EC" w:rsidR="00522350" w:rsidRPr="003765DC" w:rsidRDefault="00522350" w:rsidP="003765DC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Odsetek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pacjentów,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którzy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odnieśli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korzyść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kliniczną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(DCR)-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odsetek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pacjentów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z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color w:val="000000" w:themeColor="text1"/>
                <w:sz w:val="20"/>
              </w:rPr>
              <w:t>najlepszą</w:t>
            </w:r>
            <w:r w:rsidR="003765DC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całkowitą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odpowiedzią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postaci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potwierdzonej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CR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lub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potwierdzonej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PR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lub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SD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–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oczekiwany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wynik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na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poziomie</w:t>
            </w:r>
            <w:r w:rsidR="003765DC">
              <w:rPr>
                <w:rFonts w:ascii="Times New Roman" w:hAnsi="Times New Roman"/>
                <w:sz w:val="20"/>
              </w:rPr>
              <w:t xml:space="preserve"> </w:t>
            </w:r>
            <w:r w:rsidRPr="003765DC">
              <w:rPr>
                <w:rFonts w:ascii="Times New Roman" w:hAnsi="Times New Roman"/>
                <w:sz w:val="20"/>
              </w:rPr>
              <w:t>71,9%</w:t>
            </w:r>
            <w:r w:rsidR="003765DC" w:rsidRPr="003765DC">
              <w:rPr>
                <w:rFonts w:ascii="Times New Roman" w:hAnsi="Times New Roman"/>
                <w:sz w:val="20"/>
              </w:rPr>
              <w:t>;</w:t>
            </w:r>
          </w:p>
          <w:p w14:paraId="09952906" w14:textId="5A964080" w:rsidR="006E4AF4" w:rsidRPr="00F738AE" w:rsidRDefault="003765DC" w:rsidP="003765DC">
            <w:pPr>
              <w:widowControl w:val="0"/>
              <w:numPr>
                <w:ilvl w:val="3"/>
                <w:numId w:val="45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3765DC">
              <w:rPr>
                <w:rFonts w:ascii="Times New Roman" w:eastAsia="Calibri" w:hAnsi="Times New Roman"/>
                <w:sz w:val="20"/>
                <w:lang w:eastAsia="en-US"/>
              </w:rPr>
              <w:t>p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rzekazywanie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informacji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sprawozdawczo-rozliczeniowych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do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NFZ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(informacje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przekazuje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się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do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NFZ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formie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papierowej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formie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elektronicznej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zgodnie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wymaganiami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opublikowanymi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przez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522350" w:rsidRPr="003765DC">
              <w:rPr>
                <w:rFonts w:ascii="Times New Roman" w:eastAsia="Calibri" w:hAnsi="Times New Roman"/>
                <w:sz w:val="20"/>
                <w:lang w:eastAsia="en-US"/>
              </w:rPr>
              <w:t>NFZ).</w:t>
            </w:r>
          </w:p>
          <w:p w14:paraId="513545DE" w14:textId="77777777" w:rsidR="00F738AE" w:rsidRPr="003765DC" w:rsidRDefault="00F738AE" w:rsidP="00F738AE">
            <w:pPr>
              <w:widowControl w:val="0"/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610E98A6" w14:textId="77977CA1" w:rsidR="003765DC" w:rsidRPr="003765DC" w:rsidRDefault="003765DC" w:rsidP="003765DC">
            <w:pPr>
              <w:widowControl w:val="0"/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</w:tr>
    </w:tbl>
    <w:p w14:paraId="74D3BE51" w14:textId="77777777" w:rsidR="00E617B5" w:rsidRPr="007F1F8A" w:rsidRDefault="00E617B5" w:rsidP="007F1F8A">
      <w:pPr>
        <w:spacing w:line="276" w:lineRule="auto"/>
        <w:rPr>
          <w:rFonts w:ascii="Times New Roman" w:hAnsi="Times New Roman"/>
          <w:sz w:val="20"/>
        </w:rPr>
      </w:pPr>
    </w:p>
    <w:sectPr w:rsidR="00E617B5" w:rsidRPr="007F1F8A" w:rsidSect="00925BA4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8F70" w14:textId="77777777" w:rsidR="00341BC6" w:rsidRDefault="00341BC6" w:rsidP="005A64B7">
      <w:pPr>
        <w:spacing w:line="240" w:lineRule="auto"/>
      </w:pPr>
      <w:r>
        <w:separator/>
      </w:r>
    </w:p>
  </w:endnote>
  <w:endnote w:type="continuationSeparator" w:id="0">
    <w:p w14:paraId="155E6BF7" w14:textId="77777777" w:rsidR="00341BC6" w:rsidRDefault="00341BC6" w:rsidP="005A6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914E7" w14:textId="77777777" w:rsidR="00341BC6" w:rsidRDefault="00341BC6" w:rsidP="005A64B7">
      <w:pPr>
        <w:spacing w:line="240" w:lineRule="auto"/>
      </w:pPr>
      <w:r>
        <w:separator/>
      </w:r>
    </w:p>
  </w:footnote>
  <w:footnote w:type="continuationSeparator" w:id="0">
    <w:p w14:paraId="054BD633" w14:textId="77777777" w:rsidR="00341BC6" w:rsidRDefault="00341BC6" w:rsidP="005A64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1339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216D0F"/>
    <w:multiLevelType w:val="multilevel"/>
    <w:tmpl w:val="7728D5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F424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5BDA1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C6817DB"/>
    <w:multiLevelType w:val="multilevel"/>
    <w:tmpl w:val="45C04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04225C"/>
    <w:multiLevelType w:val="multilevel"/>
    <w:tmpl w:val="D18EB4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A45248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6DC2F89"/>
    <w:multiLevelType w:val="multilevel"/>
    <w:tmpl w:val="0EB0D2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74A2A64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87331D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1B84433D"/>
    <w:multiLevelType w:val="hybridMultilevel"/>
    <w:tmpl w:val="978AF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C3F37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D4B5D63"/>
    <w:multiLevelType w:val="multilevel"/>
    <w:tmpl w:val="0EB0D2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D6F34D9"/>
    <w:multiLevelType w:val="multilevel"/>
    <w:tmpl w:val="0EB0D2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DDD36D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  <w:dstrike w:val="0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30F4497D"/>
    <w:multiLevelType w:val="multilevel"/>
    <w:tmpl w:val="32D8F48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A0D4F41"/>
    <w:multiLevelType w:val="multilevel"/>
    <w:tmpl w:val="57B2A93E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A254C11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D372A9A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2811C0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28E0E48"/>
    <w:multiLevelType w:val="hybridMultilevel"/>
    <w:tmpl w:val="C7E2A11A"/>
    <w:lvl w:ilvl="0" w:tplc="1304ED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B7371"/>
    <w:multiLevelType w:val="hybridMultilevel"/>
    <w:tmpl w:val="2D0CAE6A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2" w15:restartNumberingAfterBreak="0">
    <w:nsid w:val="46F97E35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96749A1"/>
    <w:multiLevelType w:val="hybridMultilevel"/>
    <w:tmpl w:val="434C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678A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B2E7578"/>
    <w:multiLevelType w:val="multilevel"/>
    <w:tmpl w:val="8550B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</w:rPr>
    </w:lvl>
  </w:abstractNum>
  <w:abstractNum w:abstractNumId="26" w15:restartNumberingAfterBreak="0">
    <w:nsid w:val="4D70753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51D227DA"/>
    <w:multiLevelType w:val="hybridMultilevel"/>
    <w:tmpl w:val="94DE84CA"/>
    <w:lvl w:ilvl="0" w:tplc="F830D1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570E9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3D2737A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3DD032D"/>
    <w:multiLevelType w:val="multilevel"/>
    <w:tmpl w:val="C60C4050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7441FE8"/>
    <w:multiLevelType w:val="multilevel"/>
    <w:tmpl w:val="594EA1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79A7F2D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C643568"/>
    <w:multiLevelType w:val="multilevel"/>
    <w:tmpl w:val="0EB0D2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D8B641B"/>
    <w:multiLevelType w:val="multilevel"/>
    <w:tmpl w:val="6CE60B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16C41AF"/>
    <w:multiLevelType w:val="hybridMultilevel"/>
    <w:tmpl w:val="4A1697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6" w15:restartNumberingAfterBreak="0">
    <w:nsid w:val="63B9015C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4293218"/>
    <w:multiLevelType w:val="multilevel"/>
    <w:tmpl w:val="32D8F48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EF751C7"/>
    <w:multiLevelType w:val="multilevel"/>
    <w:tmpl w:val="0EB0D2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03A304F"/>
    <w:multiLevelType w:val="multilevel"/>
    <w:tmpl w:val="A1EEA57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09F40F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1" w15:restartNumberingAfterBreak="0">
    <w:nsid w:val="7344517D"/>
    <w:multiLevelType w:val="multilevel"/>
    <w:tmpl w:val="64E2C89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3F544ED"/>
    <w:multiLevelType w:val="multilevel"/>
    <w:tmpl w:val="56B6F9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77C22455"/>
    <w:multiLevelType w:val="multilevel"/>
    <w:tmpl w:val="15EAF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2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44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  <w:b w:val="0"/>
      </w:rPr>
    </w:lvl>
  </w:abstractNum>
  <w:abstractNum w:abstractNumId="44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5" w15:restartNumberingAfterBreak="0">
    <w:nsid w:val="7B606852"/>
    <w:multiLevelType w:val="multilevel"/>
    <w:tmpl w:val="32D8F48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11775380">
    <w:abstractNumId w:val="39"/>
  </w:num>
  <w:num w:numId="2" w16cid:durableId="1873225652">
    <w:abstractNumId w:val="41"/>
  </w:num>
  <w:num w:numId="3" w16cid:durableId="994458711">
    <w:abstractNumId w:val="5"/>
  </w:num>
  <w:num w:numId="4" w16cid:durableId="587008314">
    <w:abstractNumId w:val="43"/>
  </w:num>
  <w:num w:numId="5" w16cid:durableId="1857573834">
    <w:abstractNumId w:val="25"/>
  </w:num>
  <w:num w:numId="6" w16cid:durableId="623463960">
    <w:abstractNumId w:val="20"/>
  </w:num>
  <w:num w:numId="7" w16cid:durableId="16063017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0069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4293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26852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6642421">
    <w:abstractNumId w:val="28"/>
  </w:num>
  <w:num w:numId="12" w16cid:durableId="1797093845">
    <w:abstractNumId w:val="37"/>
  </w:num>
  <w:num w:numId="13" w16cid:durableId="1237127261">
    <w:abstractNumId w:val="29"/>
  </w:num>
  <w:num w:numId="14" w16cid:durableId="1699770464">
    <w:abstractNumId w:val="2"/>
  </w:num>
  <w:num w:numId="15" w16cid:durableId="1474519108">
    <w:abstractNumId w:val="24"/>
  </w:num>
  <w:num w:numId="16" w16cid:durableId="728305145">
    <w:abstractNumId w:val="23"/>
  </w:num>
  <w:num w:numId="17" w16cid:durableId="40448124">
    <w:abstractNumId w:val="21"/>
  </w:num>
  <w:num w:numId="18" w16cid:durableId="562064954">
    <w:abstractNumId w:val="19"/>
  </w:num>
  <w:num w:numId="19" w16cid:durableId="1858345897">
    <w:abstractNumId w:val="35"/>
  </w:num>
  <w:num w:numId="20" w16cid:durableId="175079321">
    <w:abstractNumId w:val="3"/>
  </w:num>
  <w:num w:numId="21" w16cid:durableId="19633457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01152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76339">
    <w:abstractNumId w:val="42"/>
  </w:num>
  <w:num w:numId="24" w16cid:durableId="346442055">
    <w:abstractNumId w:val="0"/>
  </w:num>
  <w:num w:numId="25" w16cid:durableId="1711832721">
    <w:abstractNumId w:val="6"/>
  </w:num>
  <w:num w:numId="26" w16cid:durableId="214586963">
    <w:abstractNumId w:val="18"/>
  </w:num>
  <w:num w:numId="27" w16cid:durableId="1018312201">
    <w:abstractNumId w:val="32"/>
  </w:num>
  <w:num w:numId="28" w16cid:durableId="1603151761">
    <w:abstractNumId w:val="11"/>
  </w:num>
  <w:num w:numId="29" w16cid:durableId="378432707">
    <w:abstractNumId w:val="22"/>
  </w:num>
  <w:num w:numId="30" w16cid:durableId="168907719">
    <w:abstractNumId w:val="10"/>
  </w:num>
  <w:num w:numId="31" w16cid:durableId="709186489">
    <w:abstractNumId w:val="27"/>
  </w:num>
  <w:num w:numId="32" w16cid:durableId="2003043106">
    <w:abstractNumId w:val="30"/>
  </w:num>
  <w:num w:numId="33" w16cid:durableId="524833119">
    <w:abstractNumId w:val="16"/>
  </w:num>
  <w:num w:numId="34" w16cid:durableId="607082565">
    <w:abstractNumId w:val="1"/>
  </w:num>
  <w:num w:numId="35" w16cid:durableId="1558319142">
    <w:abstractNumId w:val="17"/>
  </w:num>
  <w:num w:numId="36" w16cid:durableId="1621300572">
    <w:abstractNumId w:val="36"/>
  </w:num>
  <w:num w:numId="37" w16cid:durableId="1944798257">
    <w:abstractNumId w:val="34"/>
  </w:num>
  <w:num w:numId="38" w16cid:durableId="1036351553">
    <w:abstractNumId w:val="31"/>
  </w:num>
  <w:num w:numId="39" w16cid:durableId="124087469">
    <w:abstractNumId w:val="8"/>
  </w:num>
  <w:num w:numId="40" w16cid:durableId="263729631">
    <w:abstractNumId w:val="15"/>
  </w:num>
  <w:num w:numId="41" w16cid:durableId="1643730705">
    <w:abstractNumId w:val="45"/>
  </w:num>
  <w:num w:numId="42" w16cid:durableId="822937016">
    <w:abstractNumId w:val="4"/>
  </w:num>
  <w:num w:numId="43" w16cid:durableId="2050914150">
    <w:abstractNumId w:val="12"/>
  </w:num>
  <w:num w:numId="44" w16cid:durableId="439303561">
    <w:abstractNumId w:val="33"/>
  </w:num>
  <w:num w:numId="45" w16cid:durableId="1633905412">
    <w:abstractNumId w:val="7"/>
  </w:num>
  <w:num w:numId="46" w16cid:durableId="818884847">
    <w:abstractNumId w:val="13"/>
  </w:num>
  <w:num w:numId="47" w16cid:durableId="1023209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A4"/>
    <w:rsid w:val="00002959"/>
    <w:rsid w:val="0000362C"/>
    <w:rsid w:val="00083711"/>
    <w:rsid w:val="000A3118"/>
    <w:rsid w:val="000A737B"/>
    <w:rsid w:val="000A74D4"/>
    <w:rsid w:val="000D08C1"/>
    <w:rsid w:val="000D532E"/>
    <w:rsid w:val="001167E3"/>
    <w:rsid w:val="00120F2F"/>
    <w:rsid w:val="00131B36"/>
    <w:rsid w:val="001340A6"/>
    <w:rsid w:val="0014645D"/>
    <w:rsid w:val="001649E3"/>
    <w:rsid w:val="00197A51"/>
    <w:rsid w:val="001E1721"/>
    <w:rsid w:val="001E1EF7"/>
    <w:rsid w:val="001E5E79"/>
    <w:rsid w:val="00227528"/>
    <w:rsid w:val="0023046B"/>
    <w:rsid w:val="00267711"/>
    <w:rsid w:val="00287A01"/>
    <w:rsid w:val="00287AA4"/>
    <w:rsid w:val="00293A23"/>
    <w:rsid w:val="002A222E"/>
    <w:rsid w:val="002D09F3"/>
    <w:rsid w:val="00334E18"/>
    <w:rsid w:val="00341BC6"/>
    <w:rsid w:val="003624D6"/>
    <w:rsid w:val="003765DC"/>
    <w:rsid w:val="00390D06"/>
    <w:rsid w:val="003A2798"/>
    <w:rsid w:val="003B2240"/>
    <w:rsid w:val="003B59C7"/>
    <w:rsid w:val="003C449E"/>
    <w:rsid w:val="003D1255"/>
    <w:rsid w:val="003D58E3"/>
    <w:rsid w:val="004261E6"/>
    <w:rsid w:val="00426528"/>
    <w:rsid w:val="00453F27"/>
    <w:rsid w:val="00492E77"/>
    <w:rsid w:val="004A2FB0"/>
    <w:rsid w:val="004B5D44"/>
    <w:rsid w:val="004B7BE9"/>
    <w:rsid w:val="004F2F3F"/>
    <w:rsid w:val="004F7CFC"/>
    <w:rsid w:val="00522350"/>
    <w:rsid w:val="005A64B7"/>
    <w:rsid w:val="005D2609"/>
    <w:rsid w:val="005E5263"/>
    <w:rsid w:val="00605F36"/>
    <w:rsid w:val="0063025C"/>
    <w:rsid w:val="0063206B"/>
    <w:rsid w:val="00643446"/>
    <w:rsid w:val="0066295D"/>
    <w:rsid w:val="0069715D"/>
    <w:rsid w:val="006B1BBB"/>
    <w:rsid w:val="006E16D3"/>
    <w:rsid w:val="006E4AF4"/>
    <w:rsid w:val="006E5288"/>
    <w:rsid w:val="0070011B"/>
    <w:rsid w:val="00706DEA"/>
    <w:rsid w:val="00706DF2"/>
    <w:rsid w:val="00726482"/>
    <w:rsid w:val="00727FD7"/>
    <w:rsid w:val="00790072"/>
    <w:rsid w:val="007A1D6D"/>
    <w:rsid w:val="007C4C06"/>
    <w:rsid w:val="007D085C"/>
    <w:rsid w:val="007F1F8A"/>
    <w:rsid w:val="007F212B"/>
    <w:rsid w:val="007F545E"/>
    <w:rsid w:val="00815B14"/>
    <w:rsid w:val="008250ED"/>
    <w:rsid w:val="00833C62"/>
    <w:rsid w:val="00840618"/>
    <w:rsid w:val="00852027"/>
    <w:rsid w:val="00860BE6"/>
    <w:rsid w:val="008725F5"/>
    <w:rsid w:val="00872A50"/>
    <w:rsid w:val="00882B8C"/>
    <w:rsid w:val="0089042B"/>
    <w:rsid w:val="008C64FF"/>
    <w:rsid w:val="00925BA4"/>
    <w:rsid w:val="00932A36"/>
    <w:rsid w:val="00945ABB"/>
    <w:rsid w:val="009605B4"/>
    <w:rsid w:val="00965F6E"/>
    <w:rsid w:val="00967599"/>
    <w:rsid w:val="0097673B"/>
    <w:rsid w:val="00992DDB"/>
    <w:rsid w:val="009B248C"/>
    <w:rsid w:val="009E04B1"/>
    <w:rsid w:val="009E7706"/>
    <w:rsid w:val="009F7A28"/>
    <w:rsid w:val="00A2414A"/>
    <w:rsid w:val="00A57DA3"/>
    <w:rsid w:val="00A6006A"/>
    <w:rsid w:val="00A70BAF"/>
    <w:rsid w:val="00A75087"/>
    <w:rsid w:val="00AE7935"/>
    <w:rsid w:val="00B1500D"/>
    <w:rsid w:val="00B54ACD"/>
    <w:rsid w:val="00B64137"/>
    <w:rsid w:val="00B64A85"/>
    <w:rsid w:val="00B83D2B"/>
    <w:rsid w:val="00B90E92"/>
    <w:rsid w:val="00B9500B"/>
    <w:rsid w:val="00B97B00"/>
    <w:rsid w:val="00BC6C07"/>
    <w:rsid w:val="00BC6DB2"/>
    <w:rsid w:val="00C3006B"/>
    <w:rsid w:val="00C34D3B"/>
    <w:rsid w:val="00C374A7"/>
    <w:rsid w:val="00C62125"/>
    <w:rsid w:val="00C6677C"/>
    <w:rsid w:val="00CF24D1"/>
    <w:rsid w:val="00CF4DC0"/>
    <w:rsid w:val="00D0151F"/>
    <w:rsid w:val="00D2615F"/>
    <w:rsid w:val="00D47A79"/>
    <w:rsid w:val="00D76E60"/>
    <w:rsid w:val="00D90518"/>
    <w:rsid w:val="00D9342A"/>
    <w:rsid w:val="00DC5D0A"/>
    <w:rsid w:val="00E414B5"/>
    <w:rsid w:val="00E41506"/>
    <w:rsid w:val="00E57242"/>
    <w:rsid w:val="00E617B5"/>
    <w:rsid w:val="00E759C8"/>
    <w:rsid w:val="00EC5EEB"/>
    <w:rsid w:val="00ED2546"/>
    <w:rsid w:val="00F0065B"/>
    <w:rsid w:val="00F018AA"/>
    <w:rsid w:val="00F54522"/>
    <w:rsid w:val="00F559EF"/>
    <w:rsid w:val="00F571A8"/>
    <w:rsid w:val="00F738AE"/>
    <w:rsid w:val="00FA366B"/>
    <w:rsid w:val="00FE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5A788"/>
  <w15:docId w15:val="{7C329EC1-C462-4C48-8512-2C242339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AA4"/>
    <w:pPr>
      <w:spacing w:after="0" w:line="260" w:lineRule="atLeast"/>
    </w:pPr>
    <w:rPr>
      <w:rFonts w:ascii="Arial" w:eastAsia="Times New Roman" w:hAnsi="Arial" w:cs="Times New Roman"/>
      <w:szCs w:val="20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287AA4"/>
    <w:rPr>
      <w:sz w:val="16"/>
      <w:szCs w:val="16"/>
    </w:rPr>
  </w:style>
  <w:style w:type="paragraph" w:styleId="Tekstkomentarza">
    <w:name w:val="annotation text"/>
    <w:aliases w:val="- H19"/>
    <w:basedOn w:val="Normalny"/>
    <w:link w:val="TekstkomentarzaZnak"/>
    <w:unhideWhenUsed/>
    <w:qFormat/>
    <w:rsid w:val="00287AA4"/>
    <w:pPr>
      <w:spacing w:after="200" w:line="240" w:lineRule="auto"/>
    </w:pPr>
    <w:rPr>
      <w:rFonts w:ascii="Calibri" w:eastAsiaTheme="minorEastAsia" w:hAnsi="Calibri" w:cstheme="minorBidi"/>
      <w:sz w:val="20"/>
      <w:lang w:val="en-GB" w:eastAsia="en-GB"/>
    </w:rPr>
  </w:style>
  <w:style w:type="character" w:customStyle="1" w:styleId="TekstkomentarzaZnak">
    <w:name w:val="Tekst komentarza Znak"/>
    <w:aliases w:val="- H19 Znak"/>
    <w:basedOn w:val="Domylnaczcionkaakapitu"/>
    <w:link w:val="Tekstkomentarza"/>
    <w:qFormat/>
    <w:rsid w:val="00287AA4"/>
    <w:rPr>
      <w:rFonts w:ascii="Calibri" w:eastAsiaTheme="minorEastAsia" w:hAnsi="Calibri"/>
      <w:sz w:val="20"/>
      <w:szCs w:val="20"/>
      <w:lang w:val="en-GB" w:eastAsia="en-GB"/>
    </w:rPr>
  </w:style>
  <w:style w:type="paragraph" w:styleId="Poprawka">
    <w:name w:val="Revision"/>
    <w:hidden/>
    <w:uiPriority w:val="99"/>
    <w:semiHidden/>
    <w:rsid w:val="00D9051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A6006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446"/>
    <w:pPr>
      <w:spacing w:after="0"/>
    </w:pPr>
    <w:rPr>
      <w:rFonts w:ascii="Arial" w:eastAsia="Times New Roman" w:hAnsi="Arial" w:cs="Times New Roman"/>
      <w:b/>
      <w:bCs/>
      <w:lang w:val="de-DE"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446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BE9"/>
    <w:rPr>
      <w:rFonts w:ascii="Tahoma" w:eastAsia="Times New Roman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1E172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locked/>
    <w:rsid w:val="003D1255"/>
    <w:rPr>
      <w:rFonts w:ascii="Arial" w:eastAsia="Times New Roman" w:hAnsi="Arial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1327</Words>
  <Characters>7964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4</cp:revision>
  <dcterms:created xsi:type="dcterms:W3CDTF">2023-06-30T08:42:00Z</dcterms:created>
  <dcterms:modified xsi:type="dcterms:W3CDTF">2023-06-30T10:01:00Z</dcterms:modified>
</cp:coreProperties>
</file>